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4028F" w14:textId="7E89141D" w:rsidR="0052690D" w:rsidRPr="00067A77" w:rsidRDefault="006A6110" w:rsidP="006005D8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067A77">
        <w:rPr>
          <w:rFonts w:ascii="Garamond" w:hAnsi="Garamond"/>
          <w:b/>
          <w:bCs/>
          <w:sz w:val="28"/>
          <w:szCs w:val="28"/>
        </w:rPr>
        <w:t>Plan poprawy dostępności</w:t>
      </w:r>
    </w:p>
    <w:p w14:paraId="6BD5923F" w14:textId="7B586282" w:rsidR="006A6110" w:rsidRPr="00067A77" w:rsidRDefault="006A6110" w:rsidP="006005D8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</w:rPr>
      </w:pPr>
    </w:p>
    <w:p w14:paraId="3DB5E54C" w14:textId="77777777" w:rsidR="006A6110" w:rsidRPr="00067A77" w:rsidRDefault="006A6110" w:rsidP="006005D8">
      <w:pPr>
        <w:spacing w:line="360" w:lineRule="auto"/>
        <w:jc w:val="both"/>
        <w:rPr>
          <w:rFonts w:ascii="Garamond" w:hAnsi="Garamond"/>
        </w:rPr>
      </w:pPr>
      <w:r w:rsidRPr="00067A77">
        <w:rPr>
          <w:rFonts w:ascii="Garamond" w:hAnsi="Garamond"/>
        </w:rPr>
        <w:t>Ustawa z dnia 19 lipca 2019 r. o zapewnianiu dostępności osobom ze szczególnymi potrzebami (Dz. U. 2020 r. poz. 1062), zwana dalej „Ustawą”, ma służyć poprawie warunków życia i funkcjonowania obywateli, zwłaszcza tych ze szczególnymi potrzebami wynikającymi z niepełnosprawności, podeszłego wieku czy choroby. Osoby te mogą mieć utrudniony dostęp do korzystania z usług podmiotu publicznego z powodu barier architektonicznych, cyfrowych czy informacyjno-komunikacyjnych. Kluczowym jest zmiana podejścia do obsługi klienta ze szczególnymi potrzebami i podejmowanie działań, przez podmioty publiczne, na rzecz eliminacji występujących barier. Temu służyć ma realizacja zapisów Ustawy.</w:t>
      </w:r>
    </w:p>
    <w:p w14:paraId="3B55BFC6" w14:textId="77777777" w:rsidR="006A6110" w:rsidRPr="00067A77" w:rsidRDefault="006A6110" w:rsidP="006005D8">
      <w:pPr>
        <w:spacing w:line="360" w:lineRule="auto"/>
        <w:jc w:val="both"/>
        <w:rPr>
          <w:rFonts w:ascii="Garamond" w:hAnsi="Garamond"/>
        </w:rPr>
      </w:pPr>
      <w:r w:rsidRPr="00067A77">
        <w:rPr>
          <w:rFonts w:ascii="Garamond" w:hAnsi="Garamond"/>
        </w:rPr>
        <w:t xml:space="preserve">Rozwiązania zapisane w Ustawie wypełniają zapisy Konwencji o prawach osób niepełnosprawnych, sporządzonej w Nowym Jorku dnia 13 grudnia 2006 r. (Dz. U. z 2012 r. poz. 1169, z </w:t>
      </w:r>
      <w:proofErr w:type="spellStart"/>
      <w:r w:rsidRPr="00067A77">
        <w:rPr>
          <w:rFonts w:ascii="Garamond" w:hAnsi="Garamond"/>
        </w:rPr>
        <w:t>późn</w:t>
      </w:r>
      <w:proofErr w:type="spellEnd"/>
      <w:r w:rsidRPr="00067A77">
        <w:rPr>
          <w:rFonts w:ascii="Garamond" w:hAnsi="Garamond"/>
        </w:rPr>
        <w:t>. zm.). Tym samym zobowiązują do zapewnienia osobom ze szczególnymi potrzebami dostępu do obiektów/budynków na równi z innymi obywatelami. Zapisy Ustawy wychodzą jednak znacznie szerzej, zobowiązując podmioty publiczne do zapewnienia dostępności również w zakresie cyfrowym czy informacyjno-komunikacyjnym.</w:t>
      </w:r>
      <w:r w:rsidRPr="00067A77">
        <w:rPr>
          <w:rFonts w:ascii="Garamond" w:hAnsi="Garamond"/>
        </w:rPr>
        <w:cr/>
      </w:r>
    </w:p>
    <w:p w14:paraId="552EE4FC" w14:textId="720523C9" w:rsidR="006A6110" w:rsidRPr="00067A77" w:rsidRDefault="006A6110" w:rsidP="006005D8">
      <w:pPr>
        <w:spacing w:line="360" w:lineRule="auto"/>
        <w:jc w:val="both"/>
        <w:rPr>
          <w:rFonts w:ascii="Garamond" w:hAnsi="Garamond"/>
        </w:rPr>
      </w:pPr>
      <w:r w:rsidRPr="00067A77">
        <w:rPr>
          <w:rFonts w:ascii="Garamond" w:hAnsi="Garamond"/>
        </w:rPr>
        <w:t>Jednostka prowadzi szereg działań, które są odpowiedzią na potrzeby jego interesariuszy, w tym osób ze szczególnymi potrzebami. Mając na względzie misję publiczną urzędu, do grona jego interesariuszy należą przedstawiciele różnych środowisk. Są to zarówno klienci urzędu, pracownicy, partnerzy społeczno-gospodarczy, konsultanci, doradcy jak również uczestnicy spotkań i konferencji.</w:t>
      </w:r>
    </w:p>
    <w:p w14:paraId="4A3ABE9E" w14:textId="089D2032" w:rsidR="006A6110" w:rsidRPr="00067A77" w:rsidRDefault="006A6110" w:rsidP="006005D8">
      <w:pPr>
        <w:spacing w:line="360" w:lineRule="auto"/>
        <w:jc w:val="both"/>
        <w:rPr>
          <w:rFonts w:ascii="Garamond" w:hAnsi="Garamond"/>
        </w:rPr>
      </w:pPr>
      <w:r w:rsidRPr="00067A77">
        <w:rPr>
          <w:rFonts w:ascii="Garamond" w:hAnsi="Garamond"/>
        </w:rPr>
        <w:t>W związku z powyższym, w celu poprawy dostępności osób ze szczególnymi potrzebami, w obszarze dostępności architektonicznej planuje się wykonać:</w:t>
      </w:r>
      <w:bookmarkStart w:id="0" w:name="_GoBack"/>
      <w:bookmarkEnd w:id="0"/>
    </w:p>
    <w:p w14:paraId="36DE4F78" w14:textId="77777777" w:rsidR="006A6110" w:rsidRPr="00067A77" w:rsidRDefault="006A6110" w:rsidP="006005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067A77">
        <w:rPr>
          <w:rFonts w:ascii="Garamond" w:hAnsi="Garamond"/>
        </w:rPr>
        <w:t>szerokie drzwi wejściowe i szerokie korytarze bez przeszkód oznaczone kontraktowymi kolorami;</w:t>
      </w:r>
    </w:p>
    <w:p w14:paraId="41316CC1" w14:textId="23BA9DBF" w:rsidR="006A6110" w:rsidRPr="00067A77" w:rsidRDefault="006A6110" w:rsidP="006005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067A77">
        <w:rPr>
          <w:rFonts w:ascii="Garamond" w:hAnsi="Garamond"/>
        </w:rPr>
        <w:t>toalet</w:t>
      </w:r>
      <w:r w:rsidR="0008311F" w:rsidRPr="00067A77">
        <w:rPr>
          <w:rFonts w:ascii="Garamond" w:hAnsi="Garamond"/>
        </w:rPr>
        <w:t>a</w:t>
      </w:r>
      <w:r w:rsidRPr="00067A77">
        <w:rPr>
          <w:rFonts w:ascii="Garamond" w:hAnsi="Garamond"/>
        </w:rPr>
        <w:t xml:space="preserve"> spełniając</w:t>
      </w:r>
      <w:r w:rsidR="0008311F" w:rsidRPr="00067A77">
        <w:rPr>
          <w:rFonts w:ascii="Garamond" w:hAnsi="Garamond"/>
        </w:rPr>
        <w:t>a</w:t>
      </w:r>
      <w:r w:rsidRPr="00067A77">
        <w:rPr>
          <w:rFonts w:ascii="Garamond" w:hAnsi="Garamond"/>
        </w:rPr>
        <w:t xml:space="preserve"> kryteria dostępności;</w:t>
      </w:r>
    </w:p>
    <w:p w14:paraId="1EF65F06" w14:textId="14D2D3A9" w:rsidR="006A6110" w:rsidRPr="00067A77" w:rsidRDefault="006A6110" w:rsidP="006005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067A77">
        <w:rPr>
          <w:rFonts w:ascii="Garamond" w:hAnsi="Garamond"/>
        </w:rPr>
        <w:t>kontrastowe elementy architektury wyróżniając</w:t>
      </w:r>
      <w:r w:rsidR="0008311F" w:rsidRPr="00067A77">
        <w:rPr>
          <w:rFonts w:ascii="Garamond" w:hAnsi="Garamond"/>
        </w:rPr>
        <w:t>y</w:t>
      </w:r>
      <w:r w:rsidRPr="00067A77">
        <w:rPr>
          <w:rFonts w:ascii="Garamond" w:hAnsi="Garamond"/>
        </w:rPr>
        <w:t xml:space="preserve"> hol wejściowy;</w:t>
      </w:r>
    </w:p>
    <w:p w14:paraId="506A1D2B" w14:textId="77777777" w:rsidR="006A6110" w:rsidRPr="00067A77" w:rsidRDefault="006A6110" w:rsidP="006005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067A77">
        <w:rPr>
          <w:rFonts w:ascii="Garamond" w:hAnsi="Garamond"/>
        </w:rPr>
        <w:t>jednolity system oznaczenia pokoi;</w:t>
      </w:r>
    </w:p>
    <w:p w14:paraId="7639BFA4" w14:textId="7664CA77" w:rsidR="006A6110" w:rsidRPr="00067A77" w:rsidRDefault="006A6110" w:rsidP="006005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067A77">
        <w:rPr>
          <w:rFonts w:ascii="Garamond" w:hAnsi="Garamond"/>
        </w:rPr>
        <w:t>podjazd wraz z poręczami przy wejściu do budynku;</w:t>
      </w:r>
    </w:p>
    <w:p w14:paraId="215DAE39" w14:textId="743E50E2" w:rsidR="006A6110" w:rsidRPr="00067A77" w:rsidRDefault="006A6110" w:rsidP="006005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067A77">
        <w:rPr>
          <w:rFonts w:ascii="Garamond" w:hAnsi="Garamond"/>
        </w:rPr>
        <w:t>platform</w:t>
      </w:r>
      <w:r w:rsidR="0008311F" w:rsidRPr="00067A77">
        <w:rPr>
          <w:rFonts w:ascii="Garamond" w:hAnsi="Garamond"/>
        </w:rPr>
        <w:t>a</w:t>
      </w:r>
      <w:r w:rsidRPr="00067A77">
        <w:rPr>
          <w:rFonts w:ascii="Garamond" w:hAnsi="Garamond"/>
        </w:rPr>
        <w:t xml:space="preserve"> schodow</w:t>
      </w:r>
      <w:r w:rsidR="0008311F" w:rsidRPr="00067A77">
        <w:rPr>
          <w:rFonts w:ascii="Garamond" w:hAnsi="Garamond"/>
        </w:rPr>
        <w:t>a</w:t>
      </w:r>
      <w:r w:rsidRPr="00067A77">
        <w:rPr>
          <w:rFonts w:ascii="Garamond" w:hAnsi="Garamond"/>
        </w:rPr>
        <w:t xml:space="preserve"> umożliwiając</w:t>
      </w:r>
      <w:r w:rsidR="0008311F" w:rsidRPr="00067A77">
        <w:rPr>
          <w:rFonts w:ascii="Garamond" w:hAnsi="Garamond"/>
        </w:rPr>
        <w:t>a</w:t>
      </w:r>
      <w:r w:rsidRPr="00067A77">
        <w:rPr>
          <w:rFonts w:ascii="Garamond" w:hAnsi="Garamond"/>
        </w:rPr>
        <w:t xml:space="preserve"> poruszanie się po budynku osobom na wózkach inwalidzkich;</w:t>
      </w:r>
    </w:p>
    <w:p w14:paraId="1F3411AF" w14:textId="77777777" w:rsidR="006A6110" w:rsidRPr="00067A77" w:rsidRDefault="006A6110" w:rsidP="006005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067A77">
        <w:rPr>
          <w:rFonts w:ascii="Garamond" w:hAnsi="Garamond"/>
        </w:rPr>
        <w:t>automatyczne drzwi wejściowe;</w:t>
      </w:r>
    </w:p>
    <w:p w14:paraId="22AD6958" w14:textId="70821F8E" w:rsidR="006A6110" w:rsidRPr="00067A77" w:rsidRDefault="006A6110" w:rsidP="006005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067A77">
        <w:rPr>
          <w:rFonts w:ascii="Garamond" w:hAnsi="Garamond"/>
        </w:rPr>
        <w:t xml:space="preserve">wyróżnienie </w:t>
      </w:r>
      <w:r w:rsidR="0008311F" w:rsidRPr="00067A77">
        <w:rPr>
          <w:rFonts w:ascii="Garamond" w:hAnsi="Garamond"/>
        </w:rPr>
        <w:t>sekretariatu</w:t>
      </w:r>
      <w:r w:rsidRPr="00067A77">
        <w:rPr>
          <w:rFonts w:ascii="Garamond" w:hAnsi="Garamond"/>
        </w:rPr>
        <w:t>;</w:t>
      </w:r>
    </w:p>
    <w:p w14:paraId="6D25DF76" w14:textId="36AD1581" w:rsidR="006A6110" w:rsidRPr="00067A77" w:rsidRDefault="006A6110" w:rsidP="006005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067A77">
        <w:rPr>
          <w:rFonts w:ascii="Garamond" w:hAnsi="Garamond"/>
        </w:rPr>
        <w:t>oznakowano trasę wolną od przeszkód dla osób korzystających m.in. z wózków;</w:t>
      </w:r>
    </w:p>
    <w:p w14:paraId="2EBFFDBB" w14:textId="47F54F54" w:rsidR="006A6110" w:rsidRPr="00067A77" w:rsidRDefault="006005D8" w:rsidP="006005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067A77">
        <w:rPr>
          <w:rFonts w:ascii="Garamond" w:hAnsi="Garamond"/>
        </w:rPr>
        <w:t>w</w:t>
      </w:r>
      <w:r w:rsidR="006A6110" w:rsidRPr="00067A77">
        <w:rPr>
          <w:rFonts w:ascii="Garamond" w:hAnsi="Garamond"/>
        </w:rPr>
        <w:t>ydzielenie dodatkow</w:t>
      </w:r>
      <w:r w:rsidR="0008311F" w:rsidRPr="00067A77">
        <w:rPr>
          <w:rFonts w:ascii="Garamond" w:hAnsi="Garamond"/>
        </w:rPr>
        <w:t>ego</w:t>
      </w:r>
      <w:r w:rsidR="006A6110" w:rsidRPr="00067A77">
        <w:rPr>
          <w:rFonts w:ascii="Garamond" w:hAnsi="Garamond"/>
        </w:rPr>
        <w:t xml:space="preserve"> miejsc</w:t>
      </w:r>
      <w:r w:rsidR="0008311F" w:rsidRPr="00067A77">
        <w:rPr>
          <w:rFonts w:ascii="Garamond" w:hAnsi="Garamond"/>
        </w:rPr>
        <w:t>a</w:t>
      </w:r>
      <w:r w:rsidR="006A6110" w:rsidRPr="00067A77">
        <w:rPr>
          <w:rFonts w:ascii="Garamond" w:hAnsi="Garamond"/>
        </w:rPr>
        <w:t xml:space="preserve"> parkingow</w:t>
      </w:r>
      <w:r w:rsidR="0008311F" w:rsidRPr="00067A77">
        <w:rPr>
          <w:rFonts w:ascii="Garamond" w:hAnsi="Garamond"/>
        </w:rPr>
        <w:t>ego</w:t>
      </w:r>
      <w:r w:rsidR="006A6110" w:rsidRPr="00067A77">
        <w:rPr>
          <w:rFonts w:ascii="Garamond" w:hAnsi="Garamond"/>
        </w:rPr>
        <w:t xml:space="preserve"> dla osó</w:t>
      </w:r>
      <w:r w:rsidR="0008311F" w:rsidRPr="00067A77">
        <w:rPr>
          <w:rFonts w:ascii="Garamond" w:hAnsi="Garamond"/>
        </w:rPr>
        <w:t>b</w:t>
      </w:r>
      <w:r w:rsidR="006A6110" w:rsidRPr="00067A77">
        <w:rPr>
          <w:rFonts w:ascii="Garamond" w:hAnsi="Garamond"/>
        </w:rPr>
        <w:t xml:space="preserve"> z niepełnosprawnościami, zlokalizowanych możliwie blisko wejścia do budynku;</w:t>
      </w:r>
    </w:p>
    <w:p w14:paraId="264A48E3" w14:textId="2EA46411" w:rsidR="006A6110" w:rsidRPr="00067A77" w:rsidRDefault="006A6110" w:rsidP="006005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067A77">
        <w:rPr>
          <w:rFonts w:ascii="Garamond" w:hAnsi="Garamond"/>
        </w:rPr>
        <w:t>zakup urządzeń umożliwiających zapoznanie się z informacjami na temat rozkładu pomieszczeń w budynku w sposób głosowy i dotykowy;</w:t>
      </w:r>
    </w:p>
    <w:p w14:paraId="1AE18402" w14:textId="45286595" w:rsidR="006A6110" w:rsidRPr="00067A77" w:rsidRDefault="006A6110" w:rsidP="006005D8">
      <w:pPr>
        <w:spacing w:line="360" w:lineRule="auto"/>
        <w:jc w:val="both"/>
        <w:rPr>
          <w:rFonts w:ascii="Garamond" w:hAnsi="Garamond"/>
        </w:rPr>
      </w:pPr>
      <w:r w:rsidRPr="00067A77">
        <w:rPr>
          <w:rFonts w:ascii="Garamond" w:hAnsi="Garamond"/>
        </w:rPr>
        <w:lastRenderedPageBreak/>
        <w:t>W obszarze dostępności cyfrowej, strony internetowe Jednostki powinny być zgodne z Wytycznymi dla dostępności treści internetowych 2.0 (WCAG 2.0). Planuje się wprowadzenie następujących ułatwień:</w:t>
      </w:r>
    </w:p>
    <w:p w14:paraId="26FE722E" w14:textId="77777777" w:rsidR="006A6110" w:rsidRPr="00067A77" w:rsidRDefault="006A6110" w:rsidP="006005D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 w:rsidRPr="00067A77">
        <w:rPr>
          <w:rFonts w:ascii="Garamond" w:hAnsi="Garamond"/>
        </w:rPr>
        <w:t>nawigowanie po stronie bez użycia myszki;</w:t>
      </w:r>
    </w:p>
    <w:p w14:paraId="3D273AA0" w14:textId="2D5813DB" w:rsidR="006A6110" w:rsidRPr="00067A77" w:rsidRDefault="006A6110" w:rsidP="006005D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 w:rsidRPr="00067A77">
        <w:rPr>
          <w:rFonts w:ascii="Garamond" w:hAnsi="Garamond"/>
        </w:rPr>
        <w:t>opisy alternatywne grafik i zdjęć;</w:t>
      </w:r>
    </w:p>
    <w:p w14:paraId="74F0A928" w14:textId="739FB032" w:rsidR="006A6110" w:rsidRPr="00067A77" w:rsidRDefault="006A6110" w:rsidP="006005D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 w:rsidRPr="00067A77">
        <w:rPr>
          <w:rFonts w:ascii="Garamond" w:hAnsi="Garamond"/>
        </w:rPr>
        <w:t>uwzględnienie napisów oraz opisów treści filmów udostępnianych na stronie w odrębnym pliku;</w:t>
      </w:r>
    </w:p>
    <w:p w14:paraId="50376E11" w14:textId="1B019936" w:rsidR="006A6110" w:rsidRPr="00067A77" w:rsidRDefault="006A6110" w:rsidP="006005D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 w:rsidRPr="00067A77">
        <w:rPr>
          <w:rFonts w:ascii="Garamond" w:hAnsi="Garamond"/>
        </w:rPr>
        <w:t>wyznaczenie osoby lub osób w każdej komórce organizacyjnej, które będą czuwały nad dostosowaniem dokumentów elektronicznych, aby zapewniały one wymagania dostępności cyfrowej – były odczytywane przez programy, czytniki, z których korzystają osoby z niepełnosprawnością wzroku;</w:t>
      </w:r>
    </w:p>
    <w:p w14:paraId="088373C6" w14:textId="275F7D04" w:rsidR="006A6110" w:rsidRPr="00067A77" w:rsidRDefault="006A6110" w:rsidP="006005D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 w:rsidRPr="00067A77">
        <w:rPr>
          <w:rFonts w:ascii="Garamond" w:hAnsi="Garamond"/>
        </w:rPr>
        <w:t>na stronach internetowych znajdują się deklaracje dostępności.</w:t>
      </w:r>
      <w:r w:rsidRPr="00067A77">
        <w:rPr>
          <w:rFonts w:ascii="Garamond" w:hAnsi="Garamond"/>
        </w:rPr>
        <w:cr/>
      </w:r>
    </w:p>
    <w:p w14:paraId="154BD879" w14:textId="796B84DD" w:rsidR="006A6110" w:rsidRPr="00067A77" w:rsidRDefault="006A6110" w:rsidP="006005D8">
      <w:pPr>
        <w:spacing w:line="360" w:lineRule="auto"/>
        <w:jc w:val="both"/>
        <w:rPr>
          <w:rFonts w:ascii="Garamond" w:hAnsi="Garamond"/>
        </w:rPr>
      </w:pPr>
      <w:r w:rsidRPr="00067A77">
        <w:rPr>
          <w:rFonts w:ascii="Garamond" w:hAnsi="Garamond"/>
        </w:rPr>
        <w:t xml:space="preserve">Monitoring realizacji Planu prowadzony będzie przez Koordynatora do spraw dostępności. W ramach procesu monitoringu, Koordynator ds. dostępności, do 1 marca każdego roku, przygotuje sprawozdanie z realizacji planu działania za rok poprzedni. Roczne raporty z realizacji Planu będą zatwierdzane przez Dyrektora </w:t>
      </w:r>
      <w:r w:rsidR="006005D8" w:rsidRPr="00067A77">
        <w:rPr>
          <w:rFonts w:ascii="Garamond" w:hAnsi="Garamond"/>
        </w:rPr>
        <w:t>Jednostki</w:t>
      </w:r>
      <w:r w:rsidRPr="00067A77">
        <w:rPr>
          <w:rFonts w:ascii="Garamond" w:hAnsi="Garamond"/>
        </w:rPr>
        <w:t>. Na podstawie przygotowanego raportu rocznego, Koordynator ds. dostępności może formułować wnioski w zakresie stanu realizacji działań wynikających z przyjętego planu i kierować je do właściwych komórek organizacyjnych.</w:t>
      </w:r>
    </w:p>
    <w:sectPr w:rsidR="006A6110" w:rsidRPr="00067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94625"/>
    <w:multiLevelType w:val="hybridMultilevel"/>
    <w:tmpl w:val="55BEB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A5F50"/>
    <w:multiLevelType w:val="hybridMultilevel"/>
    <w:tmpl w:val="89D88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E184C1E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0D"/>
    <w:rsid w:val="00067A77"/>
    <w:rsid w:val="0008311F"/>
    <w:rsid w:val="0052690D"/>
    <w:rsid w:val="006005D8"/>
    <w:rsid w:val="006A6110"/>
    <w:rsid w:val="00CD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47C0"/>
  <w15:chartTrackingRefBased/>
  <w15:docId w15:val="{FF500108-89AD-4D30-AF39-3D03889F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Głuchowska</dc:creator>
  <cp:keywords/>
  <dc:description/>
  <cp:lastModifiedBy>Kinga Chmielewska</cp:lastModifiedBy>
  <cp:revision>3</cp:revision>
  <dcterms:created xsi:type="dcterms:W3CDTF">2025-05-07T09:01:00Z</dcterms:created>
  <dcterms:modified xsi:type="dcterms:W3CDTF">2025-05-07T09:36:00Z</dcterms:modified>
</cp:coreProperties>
</file>